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Georgia" w:cs="Georgia" w:eastAsia="Georgia" w:hAnsi="Georgia"/>
          <w:b/>
          <w:bCs/>
          <w:color w:val="1F3B4D"/>
          <w:sz w:val="40"/>
          <w:szCs w:val="40"/>
        </w:rPr>
        <w:t xml:space="preserve">AEDRA INTERNATIONAL</w:t>
      </w:r>
    </w:p>
    <w:p>
      <w:pPr>
        <w:spacing w:after="40"/>
        <w:jc w:val="center"/>
      </w:pPr>
      <w:r>
        <w:rPr>
          <w:rFonts w:ascii="Georgia" w:cs="Georgia" w:eastAsia="Georgia" w:hAnsi="Georgia"/>
          <w:i/>
          <w:iCs/>
          <w:color w:val="B8862B"/>
          <w:sz w:val="24"/>
          <w:szCs w:val="24"/>
        </w:rPr>
        <w:t xml:space="preserve">Breaking the Cycle of Poverty, One Small Business at a Time</w:t>
      </w:r>
    </w:p>
    <w:p>
      <w:pPr>
        <w:spacing w:after="300"/>
        <w:jc w:val="center"/>
      </w:pPr>
      <w:r>
        <w:rPr>
          <w:rFonts w:ascii="Calibri" w:cs="Calibri" w:eastAsia="Calibri" w:hAnsi="Calibri"/>
          <w:color w:val="595959"/>
          <w:sz w:val="20"/>
          <w:szCs w:val="20"/>
        </w:rPr>
        <w:t xml:space="preserve">Seed Capital Program — Donor Impact Report, 2023–2026</w:t>
      </w:r>
    </w:p>
    <w:p>
      <w:pPr>
        <w:spacing w:after="160" w:line="300"/>
      </w:pPr>
      <w:r>
        <w:rPr>
          <w:rFonts w:ascii="Calibri" w:cs="Calibri" w:eastAsia="Calibri" w:hAnsi="Calibri"/>
          <w:color w:val="262626"/>
          <w:sz w:val="22"/>
          <w:szCs w:val="22"/>
        </w:rPr>
        <w:t xml:space="preserve">Dear Friend of AEDRA,</w:t>
      </w:r>
    </w:p>
    <w:p>
      <w:pPr>
        <w:spacing w:after="160" w:line="300"/>
      </w:pPr>
      <w:r>
        <w:rPr>
          <w:rFonts w:ascii="Calibri" w:cs="Calibri" w:eastAsia="Calibri" w:hAnsi="Calibri"/>
          <w:color w:val="262626"/>
          <w:sz w:val="22"/>
          <w:szCs w:val="22"/>
        </w:rPr>
        <w:t xml:space="preserve">Because of your generosity, families in some of the most remote and underserved rural communities in Mexico — and now beyond — have been able to take the first real step out of poverty: starting or growing a small business of their own. This report shares how your seed capital gifts have been put to work over the past four years, and introduces you to just a few of the people whose lives you have touched.</w:t>
      </w:r>
    </w:p>
    <w:p>
      <w:pPr>
        <w:spacing w:after="160" w:line="300"/>
      </w:pPr>
      <w:r>
        <w:rPr>
          <w:rFonts w:ascii="Calibri" w:cs="Calibri" w:eastAsia="Calibri" w:hAnsi="Calibri"/>
          <w:color w:val="262626"/>
          <w:sz w:val="22"/>
          <w:szCs w:val="22"/>
        </w:rPr>
        <w:t xml:space="preserve">Seed capital is often small in dollar terms — $100, $200, $500 — but it is transformative in impact. For a single mother, a widow caring for aging parents, or a couple with a disability, a modest, no-strings grant to buy an oven, a sewing machine, chickens, or market inventory is the difference between depending on charity and building a sustainable livelihood. Every recipient in this report chose their own path forward; we simply provided the spark.</w:t>
      </w:r>
    </w:p>
    <w:p>
      <w:pPr>
        <w:pStyle w:val="Heading1"/>
        <w:spacing w:after="160" w:before="360"/>
      </w:pPr>
      <w:r>
        <w:rPr>
          <w:rFonts w:ascii="Georgia" w:cs="Georgia" w:eastAsia="Georgia" w:hAnsi="Georgia"/>
          <w:b/>
          <w:bCs/>
          <w:color w:val="1F3B4D"/>
          <w:sz w:val="30"/>
          <w:szCs w:val="30"/>
        </w:rPr>
        <w:t xml:space="preserve">Program Snapshot</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3100"/>
        <w:gridCol w:w="3100"/>
        <w:gridCol w:w="3100"/>
      </w:tblGrid>
      <w:tr>
        <w:tc>
          <w:tcPr>
            <w:tcW w:type="dxa" w:w="3100"/>
            <w:tcBorders>
              <w:top w:val="single" w:color="D9CFAF" w:sz="4"/>
              <w:left w:val="single" w:color="D9CFAF" w:sz="4"/>
              <w:bottom w:val="single" w:color="D9CFAF" w:sz="4"/>
              <w:right w:val="single" w:color="D9CFAF" w:sz="4"/>
            </w:tcBorders>
            <w:shd w:fill="F2ECE2" w:val="clear"/>
            <w:tcMar>
              <w:top w:type="dxa" w:w="200"/>
              <w:left w:type="dxa" w:w="150"/>
              <w:bottom w:type="dxa" w:w="200"/>
              <w:right w:type="dxa" w:w="150"/>
            </w:tcMar>
          </w:tcPr>
          <w:p>
            <w:pPr>
              <w:spacing w:after="40"/>
              <w:jc w:val="center"/>
            </w:pPr>
            <w:r>
              <w:rPr>
                <w:rFonts w:ascii="Georgia" w:cs="Georgia" w:eastAsia="Georgia" w:hAnsi="Georgia"/>
                <w:b/>
                <w:bCs/>
                <w:color w:val="1F3B4D"/>
                <w:sz w:val="34"/>
                <w:szCs w:val="34"/>
              </w:rPr>
              <w:t xml:space="preserve">31</w:t>
            </w:r>
          </w:p>
          <w:p>
            <w:pPr>
              <w:jc w:val="center"/>
            </w:pPr>
            <w:r>
              <w:rPr>
                <w:rFonts w:ascii="Calibri" w:cs="Calibri" w:eastAsia="Calibri" w:hAnsi="Calibri"/>
                <w:color w:val="595959"/>
                <w:sz w:val="18"/>
                <w:szCs w:val="18"/>
              </w:rPr>
              <w:t xml:space="preserve">Families &amp; individuals funded</w:t>
            </w:r>
          </w:p>
        </w:tc>
        <w:tc>
          <w:tcPr>
            <w:tcW w:type="dxa" w:w="3100"/>
            <w:tcBorders>
              <w:top w:val="single" w:color="D9CFAF" w:sz="4"/>
              <w:left w:val="single" w:color="D9CFAF" w:sz="4"/>
              <w:bottom w:val="single" w:color="D9CFAF" w:sz="4"/>
              <w:right w:val="single" w:color="D9CFAF" w:sz="4"/>
            </w:tcBorders>
            <w:shd w:fill="F2ECE2" w:val="clear"/>
            <w:tcMar>
              <w:top w:type="dxa" w:w="200"/>
              <w:left w:type="dxa" w:w="150"/>
              <w:bottom w:type="dxa" w:w="200"/>
              <w:right w:type="dxa" w:w="150"/>
            </w:tcMar>
          </w:tcPr>
          <w:p>
            <w:pPr>
              <w:spacing w:after="40"/>
              <w:jc w:val="center"/>
            </w:pPr>
            <w:r>
              <w:rPr>
                <w:rFonts w:ascii="Georgia" w:cs="Georgia" w:eastAsia="Georgia" w:hAnsi="Georgia"/>
                <w:b/>
                <w:bCs/>
                <w:color w:val="1F3B4D"/>
                <w:sz w:val="34"/>
                <w:szCs w:val="34"/>
              </w:rPr>
              <w:t xml:space="preserve">$8,294.63</w:t>
            </w:r>
          </w:p>
          <w:p>
            <w:pPr>
              <w:jc w:val="center"/>
            </w:pPr>
            <w:r>
              <w:rPr>
                <w:rFonts w:ascii="Calibri" w:cs="Calibri" w:eastAsia="Calibri" w:hAnsi="Calibri"/>
                <w:color w:val="595959"/>
                <w:sz w:val="18"/>
                <w:szCs w:val="18"/>
              </w:rPr>
              <w:t xml:space="preserve">Total seed capital distributed</w:t>
            </w:r>
          </w:p>
        </w:tc>
        <w:tc>
          <w:tcPr>
            <w:tcW w:type="dxa" w:w="3100"/>
            <w:tcBorders>
              <w:top w:val="single" w:color="D9CFAF" w:sz="4"/>
              <w:left w:val="single" w:color="D9CFAF" w:sz="4"/>
              <w:bottom w:val="single" w:color="D9CFAF" w:sz="4"/>
              <w:right w:val="single" w:color="D9CFAF" w:sz="4"/>
            </w:tcBorders>
            <w:shd w:fill="F2ECE2" w:val="clear"/>
            <w:tcMar>
              <w:top w:type="dxa" w:w="200"/>
              <w:left w:type="dxa" w:w="150"/>
              <w:bottom w:type="dxa" w:w="200"/>
              <w:right w:type="dxa" w:w="150"/>
            </w:tcMar>
          </w:tcPr>
          <w:p>
            <w:pPr>
              <w:spacing w:after="40"/>
              <w:jc w:val="center"/>
            </w:pPr>
            <w:r>
              <w:rPr>
                <w:rFonts w:ascii="Georgia" w:cs="Georgia" w:eastAsia="Georgia" w:hAnsi="Georgia"/>
                <w:b/>
                <w:bCs/>
                <w:color w:val="1F3B4D"/>
                <w:sz w:val="34"/>
                <w:szCs w:val="34"/>
              </w:rPr>
              <w:t xml:space="preserve">4</w:t>
            </w:r>
          </w:p>
          <w:p>
            <w:pPr>
              <w:jc w:val="center"/>
            </w:pPr>
            <w:r>
              <w:rPr>
                <w:rFonts w:ascii="Calibri" w:cs="Calibri" w:eastAsia="Calibri" w:hAnsi="Calibri"/>
                <w:color w:val="595959"/>
                <w:sz w:val="18"/>
                <w:szCs w:val="18"/>
              </w:rPr>
              <w:t xml:space="preserve">Years of continuous giving (2023–2026)</w:t>
            </w:r>
          </w:p>
        </w:tc>
      </w:tr>
    </w:tbl>
    <w:p>
      <w:pPr>
        <w:spacing w:after="100" w:before="200"/>
      </w:pPr>
    </w:p>
    <w:p>
      <w:pPr>
        <w:spacing w:after="160" w:line="300"/>
      </w:pPr>
      <w:r>
        <w:rPr>
          <w:rFonts w:ascii="Calibri" w:cs="Calibri" w:eastAsia="Calibri" w:hAnsi="Calibri"/>
          <w:color w:val="262626"/>
          <w:sz w:val="22"/>
          <w:szCs w:val="22"/>
        </w:rPr>
        <w:t xml:space="preserve">Recipients span rural Hidalgo (Huejutla, Ixquimilpan, and surrounding villages), as well as Puebla, Veracruz, Morelos, and Chihuahua, Mexico, and — through a new partnership this year — Kolkata, India. The large majority of recipients are women: single mothers, widows, and caregivers supporting family members with disabilities or chronic illness.</w:t>
      </w:r>
    </w:p>
    <w:p>
      <w:pPr>
        <w:pStyle w:val="Heading1"/>
        <w:spacing w:after="160" w:before="360"/>
      </w:pPr>
      <w:r>
        <w:rPr>
          <w:rFonts w:ascii="Georgia" w:cs="Georgia" w:eastAsia="Georgia" w:hAnsi="Georgia"/>
          <w:b/>
          <w:bCs/>
          <w:color w:val="1F3B4D"/>
          <w:sz w:val="30"/>
          <w:szCs w:val="30"/>
        </w:rPr>
        <w:t xml:space="preserve">Year by Year</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dxa" w:w="4500"/>
            <w:shd w:fill="1F3B4D" w:val="clear"/>
            <w:tcMar>
              <w:top w:type="dxa" w:w="100"/>
              <w:left w:type="dxa" w:w="120"/>
              <w:bottom w:type="dxa" w:w="100"/>
              <w:right w:type="dxa" w:w="120"/>
            </w:tcMar>
          </w:tcPr>
          <w:p>
            <w:r>
              <w:rPr>
                <w:rFonts w:ascii="Calibri" w:cs="Calibri" w:eastAsia="Calibri" w:hAnsi="Calibri"/>
                <w:b/>
                <w:bCs/>
                <w:color w:val="FFFFFF"/>
                <w:sz w:val="20"/>
                <w:szCs w:val="20"/>
              </w:rPr>
              <w:t xml:space="preserve">Year</w:t>
            </w:r>
          </w:p>
        </w:tc>
        <w:tc>
          <w:tcPr>
            <w:tcW w:type="dxa" w:w="2400"/>
            <w:shd w:fill="1F3B4D" w:val="clear"/>
            <w:tcMar>
              <w:top w:type="dxa" w:w="100"/>
              <w:left w:type="dxa" w:w="120"/>
              <w:bottom w:type="dxa" w:w="100"/>
              <w:right w:type="dxa" w:w="120"/>
            </w:tcMar>
          </w:tcPr>
          <w:p>
            <w:r>
              <w:rPr>
                <w:rFonts w:ascii="Calibri" w:cs="Calibri" w:eastAsia="Calibri" w:hAnsi="Calibri"/>
                <w:b/>
                <w:bCs/>
                <w:color w:val="FFFFFF"/>
                <w:sz w:val="20"/>
                <w:szCs w:val="20"/>
              </w:rPr>
              <w:t xml:space="preserve">Recipients</w:t>
            </w:r>
          </w:p>
        </w:tc>
        <w:tc>
          <w:tcPr>
            <w:tcW w:type="dxa" w:w="2400"/>
            <w:shd w:fill="1F3B4D" w:val="clear"/>
            <w:tcMar>
              <w:top w:type="dxa" w:w="100"/>
              <w:left w:type="dxa" w:w="120"/>
              <w:bottom w:type="dxa" w:w="100"/>
              <w:right w:type="dxa" w:w="120"/>
            </w:tcMar>
          </w:tcPr>
          <w:p>
            <w:r>
              <w:rPr>
                <w:rFonts w:ascii="Calibri" w:cs="Calibri" w:eastAsia="Calibri" w:hAnsi="Calibri"/>
                <w:b/>
                <w:bCs/>
                <w:color w:val="FFFFFF"/>
                <w:sz w:val="20"/>
                <w:szCs w:val="20"/>
              </w:rPr>
              <w:t xml:space="preserve">Total Distributed</w:t>
            </w:r>
          </w:p>
        </w:tc>
        <w:tc>
          <w:tcPr>
            <w:tcW w:type="dxa" w:w="2400"/>
            <w:shd w:fill="1F3B4D" w:val="clear"/>
            <w:tcMar>
              <w:top w:type="dxa" w:w="100"/>
              <w:left w:type="dxa" w:w="120"/>
              <w:bottom w:type="dxa" w:w="100"/>
              <w:right w:type="dxa" w:w="120"/>
            </w:tcMar>
          </w:tcPr>
          <w:p>
            <w:r>
              <w:rPr>
                <w:rFonts w:ascii="Calibri" w:cs="Calibri" w:eastAsia="Calibri" w:hAnsi="Calibri"/>
                <w:b/>
                <w:bCs/>
                <w:color w:val="FFFFFF"/>
                <w:sz w:val="20"/>
                <w:szCs w:val="20"/>
              </w:rPr>
              <w:t xml:space="preserve">Focus</w:t>
            </w:r>
          </w:p>
        </w:tc>
      </w:tr>
      <w:tr>
        <w:tc>
          <w:tcPr>
            <w:tcW w:type="dxa" w:w="4500"/>
            <w:shd w:fill="FFFFFF" w:val="clear"/>
            <w:tcMar>
              <w:top w:type="dxa" w:w="100"/>
              <w:left w:type="dxa" w:w="120"/>
              <w:bottom w:type="dxa" w:w="100"/>
              <w:right w:type="dxa" w:w="120"/>
            </w:tcMar>
          </w:tcPr>
          <w:p>
            <w:r>
              <w:rPr>
                <w:rFonts w:ascii="Calibri" w:cs="Calibri" w:eastAsia="Calibri" w:hAnsi="Calibri"/>
                <w:sz w:val="20"/>
                <w:szCs w:val="20"/>
              </w:rPr>
              <w:t xml:space="preserve">2023</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11</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~$2,884</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Agriculture, poultry, food stands, and sewing businesses in Huejutla, Hgo.</w:t>
            </w:r>
          </w:p>
        </w:tc>
      </w:tr>
      <w:tr>
        <w:tc>
          <w:tcPr>
            <w:tcW w:type="dxa" w:w="4500"/>
            <w:shd w:fill="FFFFFF" w:val="clear"/>
            <w:tcMar>
              <w:top w:type="dxa" w:w="100"/>
              <w:left w:type="dxa" w:w="120"/>
              <w:bottom w:type="dxa" w:w="100"/>
              <w:right w:type="dxa" w:w="120"/>
            </w:tcMar>
          </w:tcPr>
          <w:p>
            <w:r>
              <w:rPr>
                <w:rFonts w:ascii="Calibri" w:cs="Calibri" w:eastAsia="Calibri" w:hAnsi="Calibri"/>
                <w:sz w:val="20"/>
                <w:szCs w:val="20"/>
              </w:rPr>
              <w:t xml:space="preserve">2024</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5</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~$1,824</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Expansion into Puebla, Chihuahua's Sierra Tarahumara, and Veracruz; continued support in Hidalgo.</w:t>
            </w:r>
          </w:p>
        </w:tc>
      </w:tr>
      <w:tr>
        <w:tc>
          <w:tcPr>
            <w:tcW w:type="dxa" w:w="4500"/>
            <w:shd w:fill="FFFFFF" w:val="clear"/>
            <w:tcMar>
              <w:top w:type="dxa" w:w="100"/>
              <w:left w:type="dxa" w:w="120"/>
              <w:bottom w:type="dxa" w:w="100"/>
              <w:right w:type="dxa" w:w="120"/>
            </w:tcMar>
          </w:tcPr>
          <w:p>
            <w:r>
              <w:rPr>
                <w:rFonts w:ascii="Calibri" w:cs="Calibri" w:eastAsia="Calibri" w:hAnsi="Calibri"/>
                <w:sz w:val="20"/>
                <w:szCs w:val="20"/>
              </w:rPr>
              <w:t xml:space="preserve">2025</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6</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~$1,662</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A group grant for a beauty salon preserving Afro-Paracas heritage; an eco-brick construction workshop; family market businesses.</w:t>
            </w:r>
          </w:p>
        </w:tc>
      </w:tr>
      <w:tr>
        <w:tc>
          <w:tcPr>
            <w:tcW w:type="dxa" w:w="4500"/>
            <w:shd w:fill="FFFFFF" w:val="clear"/>
            <w:tcMar>
              <w:top w:type="dxa" w:w="100"/>
              <w:left w:type="dxa" w:w="120"/>
              <w:bottom w:type="dxa" w:w="100"/>
              <w:right w:type="dxa" w:w="120"/>
            </w:tcMar>
          </w:tcPr>
          <w:p>
            <w:r>
              <w:rPr>
                <w:rFonts w:ascii="Calibri" w:cs="Calibri" w:eastAsia="Calibri" w:hAnsi="Calibri"/>
                <w:sz w:val="20"/>
                <w:szCs w:val="20"/>
              </w:rPr>
              <w:t xml:space="preserve">2026 (to date)</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9</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~$1,565</w:t>
            </w:r>
          </w:p>
        </w:tc>
        <w:tc>
          <w:tcPr>
            <w:tcW w:type="dxa" w:w="2400"/>
            <w:shd w:fill="FFFFFF" w:val="clear"/>
            <w:tcMar>
              <w:top w:type="dxa" w:w="100"/>
              <w:left w:type="dxa" w:w="120"/>
              <w:bottom w:type="dxa" w:w="100"/>
              <w:right w:type="dxa" w:w="120"/>
            </w:tcMar>
          </w:tcPr>
          <w:p>
            <w:r>
              <w:rPr>
                <w:rFonts w:ascii="Calibri" w:cs="Calibri" w:eastAsia="Calibri" w:hAnsi="Calibri"/>
                <w:sz w:val="20"/>
                <w:szCs w:val="20"/>
              </w:rPr>
              <w:t xml:space="preserve">Bakery, hairdressing, produce and cocoa businesses in Hidalgo; first grant to a recipient in India.</w:t>
            </w:r>
          </w:p>
        </w:tc>
      </w:tr>
    </w:tbl>
    <w:p>
      <w:pPr>
        <w:pStyle w:val="Heading1"/>
        <w:spacing w:after="160" w:before="360"/>
      </w:pPr>
      <w:r>
        <w:rPr>
          <w:rFonts w:ascii="Georgia" w:cs="Georgia" w:eastAsia="Georgia" w:hAnsi="Georgia"/>
          <w:b/>
          <w:bCs/>
          <w:color w:val="1F3B4D"/>
          <w:sz w:val="30"/>
          <w:szCs w:val="30"/>
        </w:rPr>
        <w:t xml:space="preserve">Stories from the Field</w:t>
      </w:r>
    </w:p>
    <w:p>
      <w:pPr>
        <w:spacing w:after="160" w:line="300"/>
      </w:pPr>
      <w:r>
        <w:rPr>
          <w:rFonts w:ascii="Calibri" w:cs="Calibri" w:eastAsia="Calibri" w:hAnsi="Calibri"/>
          <w:color w:val="262626"/>
          <w:sz w:val="22"/>
          <w:szCs w:val="22"/>
        </w:rPr>
        <w:t xml:space="preserve">Behind every figure is a family working to build something of their own. Here are a few of the entrepreneurs your gifts have supported:</w:t>
      </w:r>
    </w:p>
    <w:p>
      <w:pPr>
        <w:spacing w:after="40" w:before="200"/>
      </w:pPr>
      <w:r>
        <w:rPr>
          <w:rFonts w:ascii="Calibri" w:cs="Calibri" w:eastAsia="Calibri" w:hAnsi="Calibri"/>
          <w:b/>
          <w:bCs/>
          <w:color w:val="1F3B4D"/>
          <w:sz w:val="23"/>
          <w:szCs w:val="23"/>
        </w:rPr>
        <w:t xml:space="preserve">Guadalupe Lopez</w:t>
      </w:r>
      <w:r>
        <w:rPr>
          <w:rFonts w:ascii="Calibri" w:cs="Calibri" w:eastAsia="Calibri" w:hAnsi="Calibri"/>
          <w:i/>
          <w:iCs/>
          <w:color w:val="595959"/>
          <w:sz w:val="20"/>
          <w:szCs w:val="20"/>
        </w:rPr>
        <w:t xml:space="preserve">  —  Ixquimilpan, Hidalgo</w:t>
      </w:r>
    </w:p>
    <w:p>
      <w:pPr>
        <w:spacing w:after="80"/>
      </w:pPr>
      <w:r>
        <w:rPr>
          <w:rFonts w:ascii="Calibri" w:cs="Calibri" w:eastAsia="Calibri" w:hAnsi="Calibri"/>
          <w:b/>
          <w:bCs/>
          <w:color w:val="B8862B"/>
          <w:sz w:val="20"/>
          <w:szCs w:val="20"/>
        </w:rPr>
        <w:t xml:space="preserve">Business: Bakery</w:t>
      </w:r>
    </w:p>
    <w:p>
      <w:pPr>
        <w:spacing w:after="160" w:line="300"/>
      </w:pPr>
      <w:r>
        <w:rPr>
          <w:rFonts w:ascii="Calibri" w:cs="Calibri" w:eastAsia="Calibri" w:hAnsi="Calibri"/>
          <w:color w:val="262626"/>
          <w:sz w:val="22"/>
          <w:szCs w:val="22"/>
        </w:rPr>
        <w:t xml:space="preserve">A single mother of a two-year-old son, Guadalupe received seed capital to buy an oven, tools, and ingredients to launch her own bakery from home — building a steady source of income for her family.</w:t>
      </w:r>
    </w:p>
    <w:p>
      <w:pPr>
        <w:spacing w:after="40" w:before="200"/>
      </w:pPr>
      <w:r>
        <w:rPr>
          <w:rFonts w:ascii="Calibri" w:cs="Calibri" w:eastAsia="Calibri" w:hAnsi="Calibri"/>
          <w:b/>
          <w:bCs/>
          <w:color w:val="1F3B4D"/>
          <w:sz w:val="23"/>
          <w:szCs w:val="23"/>
        </w:rPr>
        <w:t xml:space="preserve">Santa Romero Hernandez</w:t>
      </w:r>
      <w:r>
        <w:rPr>
          <w:rFonts w:ascii="Calibri" w:cs="Calibri" w:eastAsia="Calibri" w:hAnsi="Calibri"/>
          <w:i/>
          <w:iCs/>
          <w:color w:val="595959"/>
          <w:sz w:val="20"/>
          <w:szCs w:val="20"/>
        </w:rPr>
        <w:t xml:space="preserve">  —  Huejutla, Hidalgo</w:t>
      </w:r>
    </w:p>
    <w:p>
      <w:pPr>
        <w:spacing w:after="80"/>
      </w:pPr>
      <w:r>
        <w:rPr>
          <w:rFonts w:ascii="Calibri" w:cs="Calibri" w:eastAsia="Calibri" w:hAnsi="Calibri"/>
          <w:b/>
          <w:bCs/>
          <w:color w:val="B8862B"/>
          <w:sz w:val="20"/>
          <w:szCs w:val="20"/>
        </w:rPr>
        <w:t xml:space="preserve">Business: Chicken Farm</w:t>
      </w:r>
    </w:p>
    <w:p>
      <w:pPr>
        <w:spacing w:after="160" w:line="300"/>
      </w:pPr>
      <w:r>
        <w:rPr>
          <w:rFonts w:ascii="Calibri" w:cs="Calibri" w:eastAsia="Calibri" w:hAnsi="Calibri"/>
          <w:color w:val="262626"/>
          <w:sz w:val="22"/>
          <w:szCs w:val="22"/>
        </w:rPr>
        <w:t xml:space="preserve">Santa provides for her family on her own, since her husband lives with epilepsy. With her grant, she is building a chicken farm that will give the household a reliable, ongoing source of food and income.</w:t>
      </w:r>
    </w:p>
    <w:p>
      <w:pPr>
        <w:spacing w:after="40" w:before="200"/>
      </w:pPr>
      <w:r>
        <w:rPr>
          <w:rFonts w:ascii="Calibri" w:cs="Calibri" w:eastAsia="Calibri" w:hAnsi="Calibri"/>
          <w:b/>
          <w:bCs/>
          <w:color w:val="1F3B4D"/>
          <w:sz w:val="23"/>
          <w:szCs w:val="23"/>
        </w:rPr>
        <w:t xml:space="preserve">Arturo Vazquez</w:t>
      </w:r>
      <w:r>
        <w:rPr>
          <w:rFonts w:ascii="Calibri" w:cs="Calibri" w:eastAsia="Calibri" w:hAnsi="Calibri"/>
          <w:i/>
          <w:iCs/>
          <w:color w:val="595959"/>
          <w:sz w:val="20"/>
          <w:szCs w:val="20"/>
        </w:rPr>
        <w:t xml:space="preserve">  —  Zacatlán, Puebla</w:t>
      </w:r>
    </w:p>
    <w:p>
      <w:pPr>
        <w:spacing w:after="80"/>
      </w:pPr>
      <w:r>
        <w:rPr>
          <w:rFonts w:ascii="Calibri" w:cs="Calibri" w:eastAsia="Calibri" w:hAnsi="Calibri"/>
          <w:b/>
          <w:bCs/>
          <w:color w:val="B8862B"/>
          <w:sz w:val="20"/>
          <w:szCs w:val="20"/>
        </w:rPr>
        <w:t xml:space="preserve">Business: Grocery Store</w:t>
      </w:r>
    </w:p>
    <w:p>
      <w:pPr>
        <w:spacing w:after="160" w:line="300"/>
      </w:pPr>
      <w:r>
        <w:rPr>
          <w:rFonts w:ascii="Calibri" w:cs="Calibri" w:eastAsia="Calibri" w:hAnsi="Calibri"/>
          <w:color w:val="262626"/>
          <w:sz w:val="22"/>
          <w:szCs w:val="22"/>
        </w:rPr>
        <w:t xml:space="preserve">Arturo manages a small grocery store with his girlfriend despite a mobility disability. His seed capital funded a meat slicer so he could add ham, meat, and deli cuts to what he sells — growing his customer base and his income.</w:t>
      </w:r>
    </w:p>
    <w:p>
      <w:pPr>
        <w:spacing w:after="40" w:before="200"/>
      </w:pPr>
      <w:r>
        <w:rPr>
          <w:rFonts w:ascii="Calibri" w:cs="Calibri" w:eastAsia="Calibri" w:hAnsi="Calibri"/>
          <w:b/>
          <w:bCs/>
          <w:color w:val="1F3B4D"/>
          <w:sz w:val="23"/>
          <w:szCs w:val="23"/>
        </w:rPr>
        <w:t xml:space="preserve">Beauty Salon Collective</w:t>
      </w:r>
      <w:r>
        <w:rPr>
          <w:rFonts w:ascii="Calibri" w:cs="Calibri" w:eastAsia="Calibri" w:hAnsi="Calibri"/>
          <w:i/>
          <w:iCs/>
          <w:color w:val="595959"/>
          <w:sz w:val="20"/>
          <w:szCs w:val="20"/>
        </w:rPr>
        <w:t xml:space="preserve">  —  Yautepec, Morelos</w:t>
      </w:r>
    </w:p>
    <w:p>
      <w:pPr>
        <w:spacing w:after="80"/>
      </w:pPr>
      <w:r>
        <w:rPr>
          <w:rFonts w:ascii="Calibri" w:cs="Calibri" w:eastAsia="Calibri" w:hAnsi="Calibri"/>
          <w:b/>
          <w:bCs/>
          <w:color w:val="B8862B"/>
          <w:sz w:val="20"/>
          <w:szCs w:val="20"/>
        </w:rPr>
        <w:t xml:space="preserve">Business: Beauty Salon</w:t>
      </w:r>
    </w:p>
    <w:p>
      <w:pPr>
        <w:spacing w:after="160" w:line="300"/>
      </w:pPr>
      <w:r>
        <w:rPr>
          <w:rFonts w:ascii="Calibri" w:cs="Calibri" w:eastAsia="Calibri" w:hAnsi="Calibri"/>
          <w:color w:val="262626"/>
          <w:sz w:val="22"/>
          <w:szCs w:val="22"/>
        </w:rPr>
        <w:t xml:space="preserve">Three young women from the Afro-Paracas community — Erandy, Sheyla, and Yoselin — pooled a joint grant to open a beauty salon that both supports them economically and helps preserve their community's Afro-Mexican heritage through hairdressing traditions.</w:t>
      </w:r>
    </w:p>
    <w:p>
      <w:pPr>
        <w:spacing w:after="40" w:before="200"/>
      </w:pPr>
      <w:r>
        <w:rPr>
          <w:rFonts w:ascii="Calibri" w:cs="Calibri" w:eastAsia="Calibri" w:hAnsi="Calibri"/>
          <w:b/>
          <w:bCs/>
          <w:color w:val="1F3B4D"/>
          <w:sz w:val="23"/>
          <w:szCs w:val="23"/>
        </w:rPr>
        <w:t xml:space="preserve">Srimati Kalpana Naskar</w:t>
      </w:r>
      <w:r>
        <w:rPr>
          <w:rFonts w:ascii="Calibri" w:cs="Calibri" w:eastAsia="Calibri" w:hAnsi="Calibri"/>
          <w:i/>
          <w:iCs/>
          <w:color w:val="595959"/>
          <w:sz w:val="20"/>
          <w:szCs w:val="20"/>
        </w:rPr>
        <w:t xml:space="preserve">  —  Kolkata, India</w:t>
      </w:r>
    </w:p>
    <w:p>
      <w:pPr>
        <w:spacing w:after="80"/>
      </w:pPr>
      <w:r>
        <w:rPr>
          <w:rFonts w:ascii="Calibri" w:cs="Calibri" w:eastAsia="Calibri" w:hAnsi="Calibri"/>
          <w:b/>
          <w:bCs/>
          <w:color w:val="B8862B"/>
          <w:sz w:val="20"/>
          <w:szCs w:val="20"/>
        </w:rPr>
        <w:t xml:space="preserve">Business: Tailoring</w:t>
      </w:r>
    </w:p>
    <w:p>
      <w:pPr>
        <w:spacing w:after="160" w:line="300"/>
      </w:pPr>
      <w:r>
        <w:rPr>
          <w:rFonts w:ascii="Calibri" w:cs="Calibri" w:eastAsia="Calibri" w:hAnsi="Calibri"/>
          <w:color w:val="262626"/>
          <w:sz w:val="22"/>
          <w:szCs w:val="22"/>
        </w:rPr>
        <w:t xml:space="preserve">Once a house cleaner and masseuse, Srimati took tailoring classes as physical work became harder with age. Your gift provided the sewing machine and materials she needed to start making and selling saris — marking AEDRA's first seed capital recipient outside Mexico.</w:t>
      </w:r>
    </w:p>
    <w:p>
      <w:pPr>
        <w:spacing w:after="40" w:before="200"/>
      </w:pPr>
      <w:r>
        <w:rPr>
          <w:rFonts w:ascii="Calibri" w:cs="Calibri" w:eastAsia="Calibri" w:hAnsi="Calibri"/>
          <w:b/>
          <w:bCs/>
          <w:color w:val="1F3B4D"/>
          <w:sz w:val="23"/>
          <w:szCs w:val="23"/>
        </w:rPr>
        <w:t xml:space="preserve">Irma Dinorah Meneses &amp; Machi Ko A.C.</w:t>
      </w:r>
      <w:r>
        <w:rPr>
          <w:rFonts w:ascii="Calibri" w:cs="Calibri" w:eastAsia="Calibri" w:hAnsi="Calibri"/>
          <w:i/>
          <w:iCs/>
          <w:color w:val="595959"/>
          <w:sz w:val="20"/>
          <w:szCs w:val="20"/>
        </w:rPr>
        <w:t xml:space="preserve">  —  Sierra Tarahumara &amp; San Juanito, Chihuahua</w:t>
      </w:r>
    </w:p>
    <w:p>
      <w:pPr>
        <w:spacing w:after="80"/>
      </w:pPr>
      <w:r>
        <w:rPr>
          <w:rFonts w:ascii="Calibri" w:cs="Calibri" w:eastAsia="Calibri" w:hAnsi="Calibri"/>
          <w:b/>
          <w:bCs/>
          <w:color w:val="B8862B"/>
          <w:sz w:val="20"/>
          <w:szCs w:val="20"/>
        </w:rPr>
        <w:t xml:space="preserve">Business: Community Infrastructure &amp; Eco-Brick Workshop</w:t>
      </w:r>
    </w:p>
    <w:p>
      <w:pPr>
        <w:spacing w:after="160" w:line="300"/>
      </w:pPr>
      <w:r>
        <w:rPr>
          <w:rFonts w:ascii="Calibri" w:cs="Calibri" w:eastAsia="Calibri" w:hAnsi="Calibri"/>
          <w:color w:val="262626"/>
          <w:sz w:val="22"/>
          <w:szCs w:val="22"/>
        </w:rPr>
        <w:t xml:space="preserve">A returning partner, Irma has used seed capital across two years to install internet access so a remote community could study online, and — most recently — to fund materials for an eco-brick construction workshop through the local nonprofit Machi Ko A.C.</w:t>
      </w:r>
    </w:p>
    <w:p>
      <w:pPr>
        <w:pStyle w:val="Heading1"/>
        <w:spacing w:after="160" w:before="360"/>
      </w:pPr>
      <w:r>
        <w:rPr>
          <w:rFonts w:ascii="Georgia" w:cs="Georgia" w:eastAsia="Georgia" w:hAnsi="Georgia"/>
          <w:b/>
          <w:bCs/>
          <w:color w:val="1F3B4D"/>
          <w:sz w:val="30"/>
          <w:szCs w:val="30"/>
        </w:rPr>
        <w:t xml:space="preserve">Where Your Dollars Go</w:t>
      </w:r>
    </w:p>
    <w:p>
      <w:pPr>
        <w:spacing w:after="160" w:line="300"/>
      </w:pPr>
      <w:r>
        <w:rPr>
          <w:rFonts w:ascii="Calibri" w:cs="Calibri" w:eastAsia="Calibri" w:hAnsi="Calibri"/>
          <w:color w:val="262626"/>
          <w:sz w:val="22"/>
          <w:szCs w:val="22"/>
        </w:rPr>
        <w:t xml:space="preserve">Seed capital grants are matched directly to what each entrepreneur identifies as their greatest need — never a generic package. Across the 31 families supported, funds have gone toward:</w:t>
      </w:r>
    </w:p>
    <w:p>
      <w:pPr>
        <w:pStyle w:val="ListParagraph"/>
        <w:numPr>
          <w:ilvl w:val="0"/>
          <w:numId w:val="2"/>
        </w:numPr>
        <w:spacing w:after="90"/>
      </w:pPr>
      <w:r>
        <w:rPr>
          <w:rFonts w:ascii="Calibri" w:cs="Calibri" w:eastAsia="Calibri" w:hAnsi="Calibri"/>
          <w:color w:val="262626"/>
          <w:sz w:val="22"/>
          <w:szCs w:val="22"/>
        </w:rPr>
        <w:t xml:space="preserve">Equipment &amp; tools: ovens, sewing machines, corn grinders, meat slicers, hair dryers and beauty tools</w:t>
      </w:r>
    </w:p>
    <w:p>
      <w:pPr>
        <w:pStyle w:val="ListParagraph"/>
        <w:numPr>
          <w:ilvl w:val="0"/>
          <w:numId w:val="2"/>
        </w:numPr>
        <w:spacing w:after="90"/>
      </w:pPr>
      <w:r>
        <w:rPr>
          <w:rFonts w:ascii="Calibri" w:cs="Calibri" w:eastAsia="Calibri" w:hAnsi="Calibri"/>
          <w:color w:val="262626"/>
          <w:sz w:val="22"/>
          <w:szCs w:val="22"/>
        </w:rPr>
        <w:t xml:space="preserve">Inventory &amp; livestock: chickens, pigs, cocoa seeds, produce, nuts, and market goods for resale</w:t>
      </w:r>
    </w:p>
    <w:p>
      <w:pPr>
        <w:pStyle w:val="ListParagraph"/>
        <w:numPr>
          <w:ilvl w:val="0"/>
          <w:numId w:val="2"/>
        </w:numPr>
        <w:spacing w:after="90"/>
      </w:pPr>
      <w:r>
        <w:rPr>
          <w:rFonts w:ascii="Calibri" w:cs="Calibri" w:eastAsia="Calibri" w:hAnsi="Calibri"/>
          <w:color w:val="262626"/>
          <w:sz w:val="22"/>
          <w:szCs w:val="22"/>
        </w:rPr>
        <w:t xml:space="preserve">Infrastructure: internet antennas, kitchen security upgrades, and eco-brick building materials</w:t>
      </w:r>
    </w:p>
    <w:p>
      <w:pPr>
        <w:pStyle w:val="ListParagraph"/>
        <w:numPr>
          <w:ilvl w:val="0"/>
          <w:numId w:val="2"/>
        </w:numPr>
        <w:spacing w:after="90"/>
      </w:pPr>
      <w:r>
        <w:rPr>
          <w:rFonts w:ascii="Calibri" w:cs="Calibri" w:eastAsia="Calibri" w:hAnsi="Calibri"/>
          <w:color w:val="262626"/>
          <w:sz w:val="22"/>
          <w:szCs w:val="22"/>
        </w:rPr>
        <w:t xml:space="preserve">Working capital: ingredients, thread and fabric, and everyday supplies to keep a business running</w:t>
      </w:r>
    </w:p>
    <w:p>
      <w:pPr>
        <w:spacing w:after="160" w:line="300"/>
      </w:pPr>
      <w:r>
        <w:rPr>
          <w:rFonts w:ascii="Calibri" w:cs="Calibri" w:eastAsia="Calibri" w:hAnsi="Calibri"/>
          <w:color w:val="262626"/>
          <w:sz w:val="22"/>
          <w:szCs w:val="22"/>
        </w:rPr>
        <w:t xml:space="preserve">Our field agents — including Julia Hernandez, Martha Becerril, Itzel Tivo, Irma Meneses, Sofia Muñoz, Fabiola Melendez, and Leila Posaw — work directly with each recipient to identify needs, disburse funds, and document outcomes, so every gift is grounded in a real relationship, not a transaction.</w:t>
      </w:r>
    </w:p>
    <w:p>
      <w:pPr>
        <w:pStyle w:val="Heading1"/>
        <w:spacing w:after="160" w:before="360"/>
      </w:pPr>
      <w:r>
        <w:rPr>
          <w:rFonts w:ascii="Georgia" w:cs="Georgia" w:eastAsia="Georgia" w:hAnsi="Georgia"/>
          <w:b/>
          <w:bCs/>
          <w:color w:val="1F3B4D"/>
          <w:sz w:val="30"/>
          <w:szCs w:val="30"/>
        </w:rPr>
        <w:t xml:space="preserve">Thank You</w:t>
      </w:r>
    </w:p>
    <w:p>
      <w:pPr>
        <w:spacing w:after="160" w:line="300"/>
      </w:pPr>
      <w:r>
        <w:rPr>
          <w:rFonts w:ascii="Calibri" w:cs="Calibri" w:eastAsia="Calibri" w:hAnsi="Calibri"/>
          <w:color w:val="262626"/>
          <w:sz w:val="22"/>
          <w:szCs w:val="22"/>
        </w:rPr>
        <w:t xml:space="preserve">None of this is possible without you. Every dollar of seed capital traces back to a donor who believed that a modest, well-placed gift could change a family's trajectory. Thank you for standing with the mothers, widows, couples, and young entrepreneurs featured in this report — and with the many more still to come.</w:t>
      </w:r>
    </w:p>
    <w:p>
      <w:pPr>
        <w:spacing w:after="160" w:line="300"/>
      </w:pPr>
      <w:r>
        <w:rPr>
          <w:rFonts w:ascii="Calibri" w:cs="Calibri" w:eastAsia="Calibri" w:hAnsi="Calibri"/>
          <w:i/>
          <w:iCs/>
          <w:color w:val="262626"/>
          <w:sz w:val="22"/>
          <w:szCs w:val="22"/>
        </w:rPr>
        <w:t xml:space="preserve">With gratitude,</w:t>
      </w:r>
    </w:p>
    <w:p>
      <w:pPr>
        <w:spacing w:after="160" w:line="300"/>
      </w:pPr>
      <w:r>
        <w:rPr>
          <w:rFonts w:ascii="Calibri" w:cs="Calibri" w:eastAsia="Calibri" w:hAnsi="Calibri"/>
          <w:b/>
          <w:bCs/>
          <w:color w:val="262626"/>
          <w:sz w:val="22"/>
          <w:szCs w:val="22"/>
        </w:rPr>
        <w:t xml:space="preserve">The AEDRA International Team</w:t>
      </w:r>
    </w:p>
    <w:p>
      <w:pPr>
        <w:pBdr>
          <w:top w:val="single" w:color="D9CFAF" w:sz="4" w:space="8"/>
        </w:pBdr>
        <w:spacing w:before="300"/>
      </w:pPr>
      <w:r>
        <w:rPr>
          <w:rFonts w:ascii="Calibri" w:cs="Calibri" w:eastAsia="Calibri" w:hAnsi="Calibri"/>
          <w:i/>
          <w:iCs/>
          <w:color w:val="595959"/>
          <w:sz w:val="16"/>
          <w:szCs w:val="16"/>
        </w:rPr>
        <w:t xml:space="preserve">AEDRA International  •  Rural Economic Development in Latin America  •  Seed Capital  |  Rural Libraries  |  Clean Water  |  Business Workshops</w:t>
      </w:r>
    </w:p>
    <w:sectPr>
      <w:headerReference w:type="default" r:id="rId7"/>
      <w:footerReference w:type="default" r:id="rId8"/>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6"/>
        <w:szCs w:val="16"/>
      </w:rPr>
      <w:t xml:space="preserve">Page </w:t>
    </w:r>
    <w:r>
      <w:rPr>
        <w:rFonts w:ascii="Calibri" w:cs="Calibri" w:eastAsia="Calibri" w:hAnsi="Calibri"/>
        <w:color w:val="595959"/>
        <w:sz w:val="16"/>
        <w:szCs w:val="16"/>
      </w:rPr>
      <w:fldChar w:fldCharType="begin"/>
      <w:instrText xml:space="preserve">PAGE</w:instrText>
      <w:fldChar w:fldCharType="separate"/>
      <w:fldChar w:fldCharType="end"/>
    </w:r>
    <w:r>
      <w:rPr>
        <w:rFonts w:ascii="Calibri" w:cs="Calibri" w:eastAsia="Calibri" w:hAnsi="Calibri"/>
        <w:color w:val="595959"/>
        <w:sz w:val="16"/>
        <w:szCs w:val="16"/>
      </w:rPr>
      <w:t xml:space="preserve"> of </w:t>
    </w:r>
    <w:r>
      <w:rPr>
        <w:rFonts w:ascii="Calibri" w:cs="Calibri" w:eastAsia="Calibri" w:hAnsi="Calibri"/>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FAF" w:sz="6" w:space="6"/>
      </w:pBdr>
      <w:jc w:val="right"/>
    </w:pPr>
    <w:r>
      <w:rPr>
        <w:rFonts w:ascii="Calibri" w:cs="Calibri" w:eastAsia="Calibri" w:hAnsi="Calibri"/>
        <w:color w:val="595959"/>
        <w:sz w:val="16"/>
        <w:szCs w:val="16"/>
      </w:rPr>
      <w:t xml:space="preserve">AEDRA INTERNATIONAL  |  Seed Capital Impact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2026-08-24T19:39:49.234Z</dcterms:created>
  <dcterms:modified xsi:type="dcterms:W3CDTF">2026-08-24T19:39:49.251Z</dcterms:modified>
</cp:coreProperties>
</file>

<file path=docProps/custom.xml><?xml version="1.0" encoding="utf-8"?>
<Properties xmlns="http://schemas.openxmlformats.org/officeDocument/2006/custom-properties" xmlns:vt="http://schemas.openxmlformats.org/officeDocument/2006/docPropsVTypes"/>
</file>